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EB4" w:rsidRPr="00125EB4" w:rsidRDefault="00125EB4" w:rsidP="00125EB4">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rsidR="00125EB4" w:rsidRPr="00125EB4" w:rsidRDefault="00125EB4" w:rsidP="00125EB4">
      <w:pPr>
        <w:autoSpaceDE w:val="0"/>
        <w:autoSpaceDN w:val="0"/>
        <w:adjustRightInd w:val="0"/>
        <w:spacing w:after="0" w:line="240" w:lineRule="auto"/>
        <w:jc w:val="center"/>
        <w:rPr>
          <w:rFonts w:ascii="Arial" w:hAnsi="Arial" w:cs="Arial"/>
          <w:color w:val="000000"/>
          <w:sz w:val="23"/>
          <w:szCs w:val="23"/>
        </w:rPr>
      </w:pPr>
      <w:r w:rsidRPr="00125EB4">
        <w:rPr>
          <w:rFonts w:ascii="Arial" w:hAnsi="Arial" w:cs="Arial"/>
          <w:sz w:val="24"/>
          <w:szCs w:val="24"/>
        </w:rPr>
        <w:t xml:space="preserve"> </w:t>
      </w:r>
      <w:r w:rsidRPr="00125EB4">
        <w:rPr>
          <w:rFonts w:ascii="Arial" w:hAnsi="Arial" w:cs="Arial"/>
          <w:b/>
          <w:bCs/>
          <w:color w:val="000000"/>
          <w:sz w:val="23"/>
          <w:szCs w:val="23"/>
        </w:rPr>
        <w:t xml:space="preserve">BOARD OF DIRECTORS - TERMS OF REFERENCE </w:t>
      </w:r>
    </w:p>
    <w:p w:rsidR="00125EB4" w:rsidRDefault="00125EB4" w:rsidP="00125EB4">
      <w:pPr>
        <w:autoSpaceDE w:val="0"/>
        <w:autoSpaceDN w:val="0"/>
        <w:adjustRightInd w:val="0"/>
        <w:spacing w:after="0" w:line="240" w:lineRule="auto"/>
        <w:jc w:val="both"/>
        <w:rPr>
          <w:rFonts w:ascii="Arial" w:hAnsi="Arial" w:cs="Arial"/>
          <w:b/>
          <w:bCs/>
          <w:color w:val="000000"/>
          <w:sz w:val="23"/>
          <w:szCs w:val="23"/>
        </w:rPr>
      </w:pPr>
    </w:p>
    <w:p w:rsidR="00125EB4" w:rsidRPr="00125EB4" w:rsidRDefault="00125EB4" w:rsidP="00125EB4">
      <w:pPr>
        <w:autoSpaceDE w:val="0"/>
        <w:autoSpaceDN w:val="0"/>
        <w:adjustRightInd w:val="0"/>
        <w:spacing w:after="0" w:line="240" w:lineRule="auto"/>
        <w:jc w:val="both"/>
        <w:rPr>
          <w:rFonts w:ascii="Arial" w:hAnsi="Arial" w:cs="Arial"/>
          <w:color w:val="000000"/>
          <w:sz w:val="23"/>
          <w:szCs w:val="23"/>
        </w:rPr>
      </w:pPr>
      <w:r w:rsidRPr="00125EB4">
        <w:rPr>
          <w:rFonts w:ascii="Arial" w:hAnsi="Arial" w:cs="Arial"/>
          <w:b/>
          <w:bCs/>
          <w:color w:val="000000"/>
          <w:sz w:val="23"/>
          <w:szCs w:val="23"/>
        </w:rPr>
        <w:t xml:space="preserve">Composition </w:t>
      </w:r>
    </w:p>
    <w:p w:rsidR="00125EB4" w:rsidRDefault="00125EB4" w:rsidP="00125EB4">
      <w:pPr>
        <w:autoSpaceDE w:val="0"/>
        <w:autoSpaceDN w:val="0"/>
        <w:adjustRightInd w:val="0"/>
        <w:spacing w:after="0" w:line="240" w:lineRule="auto"/>
        <w:jc w:val="both"/>
        <w:rPr>
          <w:rFonts w:ascii="Arial" w:hAnsi="Arial" w:cs="Arial"/>
          <w:color w:val="000000"/>
          <w:sz w:val="23"/>
          <w:szCs w:val="23"/>
        </w:rPr>
      </w:pPr>
    </w:p>
    <w:p w:rsidR="00125EB4" w:rsidRPr="00125EB4" w:rsidRDefault="00125EB4" w:rsidP="00125EB4">
      <w:pPr>
        <w:autoSpaceDE w:val="0"/>
        <w:autoSpaceDN w:val="0"/>
        <w:adjustRightInd w:val="0"/>
        <w:spacing w:after="0" w:line="240" w:lineRule="auto"/>
        <w:jc w:val="both"/>
        <w:rPr>
          <w:rFonts w:ascii="Arial" w:hAnsi="Arial" w:cs="Arial"/>
          <w:color w:val="000000"/>
          <w:sz w:val="23"/>
          <w:szCs w:val="23"/>
        </w:rPr>
      </w:pPr>
      <w:r w:rsidRPr="00125EB4">
        <w:rPr>
          <w:rFonts w:ascii="Arial" w:hAnsi="Arial" w:cs="Arial"/>
          <w:color w:val="000000"/>
          <w:sz w:val="23"/>
          <w:szCs w:val="23"/>
        </w:rPr>
        <w:t xml:space="preserve">The Board of Directors (“Board”) of </w:t>
      </w:r>
      <w:r>
        <w:rPr>
          <w:rFonts w:ascii="Arial" w:hAnsi="Arial" w:cs="Arial"/>
          <w:color w:val="000000"/>
          <w:sz w:val="23"/>
          <w:szCs w:val="23"/>
        </w:rPr>
        <w:t xml:space="preserve">ABC Housing Ltd </w:t>
      </w:r>
      <w:r w:rsidRPr="00125EB4">
        <w:rPr>
          <w:rFonts w:ascii="Arial" w:hAnsi="Arial" w:cs="Arial"/>
          <w:color w:val="000000"/>
          <w:sz w:val="23"/>
          <w:szCs w:val="23"/>
        </w:rPr>
        <w:t xml:space="preserve">(the “Company”) should have the appropriate balance of skills, experience, independence and knowledge of the Company to enable it to discharge its duties and responsibilities effectively. </w:t>
      </w:r>
    </w:p>
    <w:p w:rsidR="00125EB4" w:rsidRDefault="00125EB4" w:rsidP="00125EB4">
      <w:pPr>
        <w:autoSpaceDE w:val="0"/>
        <w:autoSpaceDN w:val="0"/>
        <w:adjustRightInd w:val="0"/>
        <w:spacing w:after="0" w:line="240" w:lineRule="auto"/>
        <w:jc w:val="both"/>
        <w:rPr>
          <w:rFonts w:ascii="Arial" w:hAnsi="Arial" w:cs="Arial"/>
          <w:color w:val="000000"/>
          <w:sz w:val="23"/>
          <w:szCs w:val="23"/>
        </w:rPr>
      </w:pPr>
    </w:p>
    <w:p w:rsidR="00125EB4" w:rsidRPr="00125EB4" w:rsidRDefault="00125EB4" w:rsidP="00125EB4">
      <w:pPr>
        <w:autoSpaceDE w:val="0"/>
        <w:autoSpaceDN w:val="0"/>
        <w:adjustRightInd w:val="0"/>
        <w:spacing w:after="0" w:line="240" w:lineRule="auto"/>
        <w:jc w:val="both"/>
        <w:rPr>
          <w:rFonts w:ascii="Arial" w:hAnsi="Arial" w:cs="Arial"/>
          <w:color w:val="000000"/>
          <w:sz w:val="23"/>
          <w:szCs w:val="23"/>
        </w:rPr>
      </w:pPr>
      <w:r w:rsidRPr="00125EB4">
        <w:rPr>
          <w:rFonts w:ascii="Arial" w:hAnsi="Arial" w:cs="Arial"/>
          <w:color w:val="000000"/>
          <w:sz w:val="23"/>
          <w:szCs w:val="23"/>
        </w:rPr>
        <w:t xml:space="preserve">The Board should be of sufficient size that the requirements of the business can be met and that changes to the Board’s composition can be managed without undue disruption. The Board should not be so large as to be unwieldy. The Board should comprise a balance of executive and non-executive directors such that no individual or small group of individuals can dominate the Board’s decision-making. </w:t>
      </w:r>
    </w:p>
    <w:p w:rsidR="00125EB4" w:rsidRDefault="00125EB4" w:rsidP="00125EB4">
      <w:pPr>
        <w:autoSpaceDE w:val="0"/>
        <w:autoSpaceDN w:val="0"/>
        <w:adjustRightInd w:val="0"/>
        <w:spacing w:after="0" w:line="240" w:lineRule="auto"/>
        <w:jc w:val="both"/>
        <w:rPr>
          <w:rFonts w:ascii="Arial" w:hAnsi="Arial" w:cs="Arial"/>
          <w:color w:val="000000"/>
          <w:sz w:val="23"/>
          <w:szCs w:val="23"/>
        </w:rPr>
      </w:pPr>
    </w:p>
    <w:p w:rsidR="00125EB4" w:rsidRPr="00125EB4" w:rsidRDefault="00125EB4" w:rsidP="00125EB4">
      <w:pPr>
        <w:autoSpaceDE w:val="0"/>
        <w:autoSpaceDN w:val="0"/>
        <w:adjustRightInd w:val="0"/>
        <w:spacing w:after="0" w:line="240" w:lineRule="auto"/>
        <w:jc w:val="both"/>
        <w:rPr>
          <w:rFonts w:ascii="Arial" w:hAnsi="Arial" w:cs="Arial"/>
          <w:color w:val="000000"/>
          <w:sz w:val="23"/>
          <w:szCs w:val="23"/>
        </w:rPr>
      </w:pPr>
      <w:r w:rsidRPr="00125EB4">
        <w:rPr>
          <w:rFonts w:ascii="Arial" w:hAnsi="Arial" w:cs="Arial"/>
          <w:color w:val="000000"/>
          <w:sz w:val="23"/>
          <w:szCs w:val="23"/>
        </w:rPr>
        <w:t xml:space="preserve">More than half of the Board, excluding the Chairman, will be non-executive Directors who have been determined by the Board to be independent in character and judgement, meaning that Directors are free from relationships or circumstances which are likely to affect their judgement or any relationships or circumstances which could appear to do so have been considered not to be material. </w:t>
      </w:r>
    </w:p>
    <w:p w:rsidR="00125EB4" w:rsidRDefault="00125EB4" w:rsidP="00125EB4">
      <w:pPr>
        <w:autoSpaceDE w:val="0"/>
        <w:autoSpaceDN w:val="0"/>
        <w:adjustRightInd w:val="0"/>
        <w:spacing w:after="0" w:line="240" w:lineRule="auto"/>
        <w:jc w:val="both"/>
        <w:rPr>
          <w:rFonts w:ascii="Arial" w:hAnsi="Arial" w:cs="Arial"/>
          <w:b/>
          <w:bCs/>
          <w:color w:val="000000"/>
          <w:sz w:val="23"/>
          <w:szCs w:val="23"/>
        </w:rPr>
      </w:pPr>
    </w:p>
    <w:p w:rsidR="00125EB4" w:rsidRPr="00125EB4" w:rsidRDefault="00125EB4" w:rsidP="00125EB4">
      <w:pPr>
        <w:autoSpaceDE w:val="0"/>
        <w:autoSpaceDN w:val="0"/>
        <w:adjustRightInd w:val="0"/>
        <w:spacing w:after="0" w:line="240" w:lineRule="auto"/>
        <w:jc w:val="both"/>
        <w:rPr>
          <w:rFonts w:ascii="Arial" w:hAnsi="Arial" w:cs="Arial"/>
          <w:color w:val="000000"/>
          <w:sz w:val="23"/>
          <w:szCs w:val="23"/>
        </w:rPr>
      </w:pPr>
      <w:r w:rsidRPr="00125EB4">
        <w:rPr>
          <w:rFonts w:ascii="Arial" w:hAnsi="Arial" w:cs="Arial"/>
          <w:b/>
          <w:bCs/>
          <w:color w:val="000000"/>
          <w:sz w:val="23"/>
          <w:szCs w:val="23"/>
        </w:rPr>
        <w:t xml:space="preserve">Meetings and Quorum </w:t>
      </w:r>
    </w:p>
    <w:p w:rsidR="00125EB4" w:rsidRDefault="00125EB4" w:rsidP="00125EB4">
      <w:pPr>
        <w:autoSpaceDE w:val="0"/>
        <w:autoSpaceDN w:val="0"/>
        <w:adjustRightInd w:val="0"/>
        <w:spacing w:after="0" w:line="240" w:lineRule="auto"/>
        <w:jc w:val="both"/>
        <w:rPr>
          <w:rFonts w:ascii="Arial" w:hAnsi="Arial" w:cs="Arial"/>
          <w:color w:val="000000"/>
          <w:sz w:val="23"/>
          <w:szCs w:val="23"/>
        </w:rPr>
      </w:pPr>
    </w:p>
    <w:p w:rsidR="00125EB4" w:rsidRPr="00125EB4" w:rsidRDefault="00125EB4" w:rsidP="00125EB4">
      <w:pPr>
        <w:autoSpaceDE w:val="0"/>
        <w:autoSpaceDN w:val="0"/>
        <w:adjustRightInd w:val="0"/>
        <w:spacing w:after="0" w:line="240" w:lineRule="auto"/>
        <w:jc w:val="both"/>
        <w:rPr>
          <w:rFonts w:ascii="Arial" w:hAnsi="Arial" w:cs="Arial"/>
          <w:color w:val="000000"/>
          <w:sz w:val="23"/>
          <w:szCs w:val="23"/>
        </w:rPr>
      </w:pPr>
      <w:r w:rsidRPr="00125EB4">
        <w:rPr>
          <w:rFonts w:ascii="Arial" w:hAnsi="Arial" w:cs="Arial"/>
          <w:color w:val="000000"/>
          <w:sz w:val="23"/>
          <w:szCs w:val="23"/>
        </w:rPr>
        <w:t xml:space="preserve">The Board should meet sufficiently regularly to discharge its duties effectively. The Board shall meet with such frequency and at such times as it may determine. It is expected that the Board shall meet at least seven times a year. </w:t>
      </w:r>
    </w:p>
    <w:p w:rsidR="00125EB4" w:rsidRDefault="00125EB4" w:rsidP="00125EB4">
      <w:pPr>
        <w:autoSpaceDE w:val="0"/>
        <w:autoSpaceDN w:val="0"/>
        <w:adjustRightInd w:val="0"/>
        <w:spacing w:after="0" w:line="240" w:lineRule="auto"/>
        <w:jc w:val="both"/>
        <w:rPr>
          <w:rFonts w:ascii="Arial" w:hAnsi="Arial" w:cs="Arial"/>
          <w:color w:val="000000"/>
          <w:sz w:val="23"/>
          <w:szCs w:val="23"/>
        </w:rPr>
      </w:pPr>
    </w:p>
    <w:p w:rsidR="00125EB4" w:rsidRPr="00125EB4" w:rsidRDefault="00125EB4" w:rsidP="00125EB4">
      <w:pPr>
        <w:autoSpaceDE w:val="0"/>
        <w:autoSpaceDN w:val="0"/>
        <w:adjustRightInd w:val="0"/>
        <w:spacing w:after="0" w:line="240" w:lineRule="auto"/>
        <w:jc w:val="both"/>
        <w:rPr>
          <w:rFonts w:ascii="Arial" w:hAnsi="Arial" w:cs="Arial"/>
          <w:color w:val="000000"/>
          <w:sz w:val="23"/>
          <w:szCs w:val="23"/>
        </w:rPr>
      </w:pPr>
      <w:r w:rsidRPr="00125EB4">
        <w:rPr>
          <w:rFonts w:ascii="Arial" w:hAnsi="Arial" w:cs="Arial"/>
          <w:color w:val="000000"/>
          <w:sz w:val="23"/>
          <w:szCs w:val="23"/>
        </w:rPr>
        <w:t xml:space="preserve">When participating in Meetings of the Board, executive Directors are expected to discharge their responsibilities as Directors of the Company and not to act solely as the representative of the activity for which they bear executive responsibility. </w:t>
      </w:r>
    </w:p>
    <w:p w:rsidR="00125EB4" w:rsidRDefault="00125EB4" w:rsidP="00125EB4">
      <w:pPr>
        <w:autoSpaceDE w:val="0"/>
        <w:autoSpaceDN w:val="0"/>
        <w:adjustRightInd w:val="0"/>
        <w:spacing w:after="0" w:line="240" w:lineRule="auto"/>
        <w:jc w:val="both"/>
        <w:rPr>
          <w:rFonts w:ascii="Arial" w:hAnsi="Arial" w:cs="Arial"/>
          <w:color w:val="000000"/>
          <w:sz w:val="23"/>
          <w:szCs w:val="23"/>
        </w:rPr>
      </w:pPr>
    </w:p>
    <w:p w:rsidR="00125EB4" w:rsidRPr="00125EB4" w:rsidRDefault="00125EB4" w:rsidP="00125EB4">
      <w:pPr>
        <w:autoSpaceDE w:val="0"/>
        <w:autoSpaceDN w:val="0"/>
        <w:adjustRightInd w:val="0"/>
        <w:spacing w:after="0" w:line="240" w:lineRule="auto"/>
        <w:jc w:val="both"/>
        <w:rPr>
          <w:rFonts w:ascii="Arial" w:hAnsi="Arial" w:cs="Arial"/>
          <w:color w:val="000000"/>
          <w:sz w:val="23"/>
          <w:szCs w:val="23"/>
        </w:rPr>
      </w:pPr>
      <w:r w:rsidRPr="00125EB4">
        <w:rPr>
          <w:rFonts w:ascii="Arial" w:hAnsi="Arial" w:cs="Arial"/>
          <w:color w:val="000000"/>
          <w:sz w:val="23"/>
          <w:szCs w:val="23"/>
        </w:rPr>
        <w:t xml:space="preserve">The quorum for meetings of the Board is three Directors. </w:t>
      </w:r>
    </w:p>
    <w:p w:rsidR="00125EB4" w:rsidRDefault="00125EB4" w:rsidP="00125EB4">
      <w:pPr>
        <w:autoSpaceDE w:val="0"/>
        <w:autoSpaceDN w:val="0"/>
        <w:adjustRightInd w:val="0"/>
        <w:spacing w:after="0" w:line="240" w:lineRule="auto"/>
        <w:jc w:val="both"/>
        <w:rPr>
          <w:rFonts w:ascii="Arial" w:hAnsi="Arial" w:cs="Arial"/>
          <w:b/>
          <w:bCs/>
          <w:color w:val="000000"/>
          <w:sz w:val="23"/>
          <w:szCs w:val="23"/>
        </w:rPr>
      </w:pPr>
    </w:p>
    <w:p w:rsidR="00125EB4" w:rsidRPr="00125EB4" w:rsidRDefault="00125EB4" w:rsidP="00125EB4">
      <w:pPr>
        <w:autoSpaceDE w:val="0"/>
        <w:autoSpaceDN w:val="0"/>
        <w:adjustRightInd w:val="0"/>
        <w:spacing w:after="0" w:line="240" w:lineRule="auto"/>
        <w:jc w:val="both"/>
        <w:rPr>
          <w:rFonts w:ascii="Arial" w:hAnsi="Arial" w:cs="Arial"/>
          <w:color w:val="000000"/>
          <w:sz w:val="23"/>
          <w:szCs w:val="23"/>
        </w:rPr>
      </w:pPr>
      <w:r w:rsidRPr="00125EB4">
        <w:rPr>
          <w:rFonts w:ascii="Arial" w:hAnsi="Arial" w:cs="Arial"/>
          <w:b/>
          <w:bCs/>
          <w:color w:val="000000"/>
          <w:sz w:val="23"/>
          <w:szCs w:val="23"/>
        </w:rPr>
        <w:t xml:space="preserve">Objective </w:t>
      </w:r>
    </w:p>
    <w:p w:rsidR="00125EB4" w:rsidRDefault="00125EB4" w:rsidP="00125EB4">
      <w:pPr>
        <w:autoSpaceDE w:val="0"/>
        <w:autoSpaceDN w:val="0"/>
        <w:adjustRightInd w:val="0"/>
        <w:spacing w:after="0" w:line="240" w:lineRule="auto"/>
        <w:jc w:val="both"/>
        <w:rPr>
          <w:rFonts w:ascii="Arial" w:hAnsi="Arial" w:cs="Arial"/>
          <w:color w:val="000000"/>
          <w:sz w:val="23"/>
          <w:szCs w:val="23"/>
        </w:rPr>
      </w:pPr>
    </w:p>
    <w:p w:rsidR="00125EB4" w:rsidRDefault="00125EB4" w:rsidP="00125EB4">
      <w:pPr>
        <w:autoSpaceDE w:val="0"/>
        <w:autoSpaceDN w:val="0"/>
        <w:adjustRightInd w:val="0"/>
        <w:spacing w:after="0" w:line="240" w:lineRule="auto"/>
        <w:jc w:val="both"/>
        <w:rPr>
          <w:rFonts w:ascii="Arial" w:hAnsi="Arial" w:cs="Arial"/>
          <w:color w:val="000000"/>
          <w:sz w:val="23"/>
          <w:szCs w:val="23"/>
        </w:rPr>
      </w:pPr>
      <w:r w:rsidRPr="00125EB4">
        <w:rPr>
          <w:rFonts w:ascii="Arial" w:hAnsi="Arial" w:cs="Arial"/>
          <w:color w:val="000000"/>
          <w:sz w:val="23"/>
          <w:szCs w:val="23"/>
        </w:rPr>
        <w:t xml:space="preserve">The role of the Board is to provide entrepreneurial leadership of the Company within a framework of prudent and effective controls which enables risks to be assessed and managed. The Board is collectively responsible for the long-term success of the Company and delivery of sustainable value to shareholders. It sets the strategy and risk appetite for the Company and its subsidiaries (the “Group”) and approves capital and operating plans presented by management for the achievement of the strategic objectives it has set. Implementation of the strategy set by the Board is delegated to the </w:t>
      </w:r>
      <w:r w:rsidR="00A36C8B">
        <w:rPr>
          <w:rFonts w:ascii="Arial" w:hAnsi="Arial" w:cs="Arial"/>
          <w:color w:val="000000"/>
          <w:sz w:val="23"/>
          <w:szCs w:val="23"/>
        </w:rPr>
        <w:t>Senior Management Team</w:t>
      </w:r>
      <w:r w:rsidRPr="00125EB4">
        <w:rPr>
          <w:rFonts w:ascii="Arial" w:hAnsi="Arial" w:cs="Arial"/>
          <w:color w:val="000000"/>
          <w:sz w:val="23"/>
          <w:szCs w:val="23"/>
        </w:rPr>
        <w:t xml:space="preserve"> (“</w:t>
      </w:r>
      <w:r w:rsidR="00A36C8B">
        <w:rPr>
          <w:rFonts w:ascii="Arial" w:hAnsi="Arial" w:cs="Arial"/>
          <w:color w:val="000000"/>
          <w:sz w:val="23"/>
          <w:szCs w:val="23"/>
        </w:rPr>
        <w:t>SMT</w:t>
      </w:r>
      <w:r w:rsidRPr="00125EB4">
        <w:rPr>
          <w:rFonts w:ascii="Arial" w:hAnsi="Arial" w:cs="Arial"/>
          <w:color w:val="000000"/>
          <w:sz w:val="23"/>
          <w:szCs w:val="23"/>
        </w:rPr>
        <w:t xml:space="preserve">”) which is led by the Chief Executive. </w:t>
      </w:r>
    </w:p>
    <w:p w:rsidR="00125EB4" w:rsidRDefault="00125EB4" w:rsidP="00125EB4">
      <w:pPr>
        <w:autoSpaceDE w:val="0"/>
        <w:autoSpaceDN w:val="0"/>
        <w:adjustRightInd w:val="0"/>
        <w:spacing w:after="0" w:line="240" w:lineRule="auto"/>
        <w:jc w:val="both"/>
        <w:rPr>
          <w:rFonts w:ascii="Arial" w:hAnsi="Arial" w:cs="Arial"/>
          <w:color w:val="000000"/>
          <w:sz w:val="23"/>
          <w:szCs w:val="23"/>
        </w:rPr>
      </w:pPr>
    </w:p>
    <w:p w:rsidR="00125EB4" w:rsidRPr="00125EB4" w:rsidRDefault="00125EB4" w:rsidP="00125EB4">
      <w:pPr>
        <w:pageBreakBefore/>
        <w:autoSpaceDE w:val="0"/>
        <w:autoSpaceDN w:val="0"/>
        <w:adjustRightInd w:val="0"/>
        <w:spacing w:after="0" w:line="240" w:lineRule="auto"/>
        <w:jc w:val="both"/>
        <w:rPr>
          <w:rFonts w:ascii="Arial" w:hAnsi="Arial" w:cs="Arial"/>
          <w:sz w:val="23"/>
          <w:szCs w:val="23"/>
        </w:rPr>
      </w:pPr>
      <w:r>
        <w:rPr>
          <w:rFonts w:ascii="Arial" w:hAnsi="Arial" w:cs="Arial"/>
          <w:b/>
          <w:bCs/>
          <w:sz w:val="23"/>
          <w:szCs w:val="23"/>
        </w:rPr>
        <w:lastRenderedPageBreak/>
        <w:t>P</w:t>
      </w:r>
      <w:r w:rsidRPr="00125EB4">
        <w:rPr>
          <w:rFonts w:ascii="Arial" w:hAnsi="Arial" w:cs="Arial"/>
          <w:b/>
          <w:bCs/>
          <w:sz w:val="23"/>
          <w:szCs w:val="23"/>
        </w:rPr>
        <w:t xml:space="preserve">owers of the Board </w:t>
      </w:r>
    </w:p>
    <w:p w:rsidR="00125EB4" w:rsidRDefault="00125EB4" w:rsidP="00125EB4">
      <w:pPr>
        <w:autoSpaceDE w:val="0"/>
        <w:autoSpaceDN w:val="0"/>
        <w:adjustRightInd w:val="0"/>
        <w:spacing w:after="0" w:line="240" w:lineRule="auto"/>
        <w:jc w:val="both"/>
        <w:rPr>
          <w:rFonts w:ascii="Arial" w:hAnsi="Arial" w:cs="Arial"/>
          <w:sz w:val="23"/>
          <w:szCs w:val="23"/>
        </w:rPr>
      </w:pPr>
    </w:p>
    <w:p w:rsidR="00125EB4" w:rsidRPr="00125EB4" w:rsidRDefault="00125EB4" w:rsidP="00125EB4">
      <w:pPr>
        <w:autoSpaceDE w:val="0"/>
        <w:autoSpaceDN w:val="0"/>
        <w:adjustRightInd w:val="0"/>
        <w:spacing w:after="0" w:line="240" w:lineRule="auto"/>
        <w:jc w:val="both"/>
        <w:rPr>
          <w:rFonts w:ascii="Arial" w:hAnsi="Arial" w:cs="Arial"/>
          <w:sz w:val="23"/>
          <w:szCs w:val="23"/>
        </w:rPr>
      </w:pPr>
      <w:r w:rsidRPr="00125EB4">
        <w:rPr>
          <w:rFonts w:ascii="Arial" w:hAnsi="Arial" w:cs="Arial"/>
          <w:sz w:val="23"/>
          <w:szCs w:val="23"/>
        </w:rPr>
        <w:t xml:space="preserve">The Board is responsible for managing the business of the Company and, in doing so, may exercise all the powers of the Company, subject to any relevant laws and regulations and to the Articles of Association (“Articles”). </w:t>
      </w:r>
    </w:p>
    <w:p w:rsidR="00125EB4" w:rsidRDefault="00125EB4" w:rsidP="00125EB4">
      <w:pPr>
        <w:autoSpaceDE w:val="0"/>
        <w:autoSpaceDN w:val="0"/>
        <w:adjustRightInd w:val="0"/>
        <w:spacing w:after="0" w:line="240" w:lineRule="auto"/>
        <w:jc w:val="both"/>
        <w:rPr>
          <w:rFonts w:ascii="Arial" w:hAnsi="Arial" w:cs="Arial"/>
          <w:color w:val="000000"/>
          <w:sz w:val="23"/>
          <w:szCs w:val="23"/>
        </w:rPr>
      </w:pPr>
    </w:p>
    <w:p w:rsidR="00125EB4" w:rsidRPr="00125EB4" w:rsidRDefault="00125EB4" w:rsidP="00125EB4">
      <w:pPr>
        <w:autoSpaceDE w:val="0"/>
        <w:autoSpaceDN w:val="0"/>
        <w:adjustRightInd w:val="0"/>
        <w:spacing w:after="0" w:line="240" w:lineRule="auto"/>
        <w:ind w:left="720" w:hanging="720"/>
        <w:jc w:val="both"/>
        <w:rPr>
          <w:rFonts w:ascii="Arial" w:hAnsi="Arial" w:cs="Arial"/>
          <w:sz w:val="23"/>
          <w:szCs w:val="23"/>
        </w:rPr>
      </w:pPr>
      <w:r w:rsidRPr="00125EB4">
        <w:rPr>
          <w:rFonts w:ascii="Arial" w:hAnsi="Arial" w:cs="Arial"/>
          <w:b/>
          <w:bCs/>
          <w:sz w:val="23"/>
          <w:szCs w:val="23"/>
        </w:rPr>
        <w:t xml:space="preserve">Matters reserved to the Board </w:t>
      </w:r>
    </w:p>
    <w:p w:rsidR="00125EB4" w:rsidRDefault="00125EB4" w:rsidP="00125EB4">
      <w:pPr>
        <w:autoSpaceDE w:val="0"/>
        <w:autoSpaceDN w:val="0"/>
        <w:adjustRightInd w:val="0"/>
        <w:spacing w:after="0" w:line="240" w:lineRule="auto"/>
        <w:jc w:val="both"/>
        <w:rPr>
          <w:rFonts w:ascii="Arial" w:hAnsi="Arial" w:cs="Arial"/>
          <w:sz w:val="23"/>
          <w:szCs w:val="23"/>
        </w:rPr>
      </w:pPr>
    </w:p>
    <w:p w:rsidR="00125EB4" w:rsidRPr="00125EB4" w:rsidRDefault="00125EB4" w:rsidP="00125EB4">
      <w:pPr>
        <w:autoSpaceDE w:val="0"/>
        <w:autoSpaceDN w:val="0"/>
        <w:adjustRightInd w:val="0"/>
        <w:spacing w:after="0" w:line="240" w:lineRule="auto"/>
        <w:jc w:val="both"/>
        <w:rPr>
          <w:rFonts w:ascii="Arial" w:hAnsi="Arial" w:cs="Arial"/>
          <w:sz w:val="23"/>
          <w:szCs w:val="23"/>
        </w:rPr>
      </w:pPr>
      <w:r w:rsidRPr="00125EB4">
        <w:rPr>
          <w:rFonts w:ascii="Arial" w:hAnsi="Arial" w:cs="Arial"/>
          <w:sz w:val="23"/>
          <w:szCs w:val="23"/>
        </w:rPr>
        <w:t xml:space="preserve">The Board delegates the management and day-to-day running of the Group to the GMB in accordance with such polices and directions as the Board may from time to time determine with the exception of the following matters which require the approval of the Board: </w:t>
      </w:r>
    </w:p>
    <w:p w:rsidR="00125EB4" w:rsidRDefault="00125EB4" w:rsidP="00125EB4">
      <w:pPr>
        <w:autoSpaceDE w:val="0"/>
        <w:autoSpaceDN w:val="0"/>
        <w:adjustRightInd w:val="0"/>
        <w:spacing w:after="206" w:line="240" w:lineRule="auto"/>
        <w:rPr>
          <w:rFonts w:ascii="Arial" w:hAnsi="Arial" w:cs="Arial"/>
          <w:sz w:val="23"/>
          <w:szCs w:val="23"/>
        </w:rPr>
      </w:pPr>
    </w:p>
    <w:p w:rsidR="00125EB4" w:rsidRPr="00125EB4" w:rsidRDefault="00125EB4" w:rsidP="00125EB4">
      <w:pPr>
        <w:autoSpaceDE w:val="0"/>
        <w:autoSpaceDN w:val="0"/>
        <w:adjustRightInd w:val="0"/>
        <w:spacing w:after="206" w:line="240" w:lineRule="auto"/>
        <w:rPr>
          <w:rFonts w:ascii="Arial" w:hAnsi="Arial" w:cs="Arial"/>
          <w:sz w:val="23"/>
          <w:szCs w:val="23"/>
        </w:rPr>
      </w:pPr>
      <w:r w:rsidRPr="00125EB4">
        <w:rPr>
          <w:rFonts w:ascii="Arial" w:hAnsi="Arial" w:cs="Arial"/>
          <w:sz w:val="23"/>
          <w:szCs w:val="23"/>
        </w:rPr>
        <w:t>(</w:t>
      </w:r>
      <w:proofErr w:type="spellStart"/>
      <w:r w:rsidRPr="00125EB4">
        <w:rPr>
          <w:rFonts w:ascii="Arial" w:hAnsi="Arial" w:cs="Arial"/>
          <w:sz w:val="23"/>
          <w:szCs w:val="23"/>
        </w:rPr>
        <w:t>i</w:t>
      </w:r>
      <w:proofErr w:type="spellEnd"/>
      <w:r w:rsidRPr="00125EB4">
        <w:rPr>
          <w:rFonts w:ascii="Arial" w:hAnsi="Arial" w:cs="Arial"/>
          <w:sz w:val="23"/>
          <w:szCs w:val="23"/>
        </w:rPr>
        <w:t xml:space="preserve">) </w:t>
      </w:r>
      <w:proofErr w:type="gramStart"/>
      <w:r w:rsidRPr="00125EB4">
        <w:rPr>
          <w:rFonts w:ascii="Arial" w:hAnsi="Arial" w:cs="Arial"/>
          <w:sz w:val="23"/>
          <w:szCs w:val="23"/>
        </w:rPr>
        <w:t>annual</w:t>
      </w:r>
      <w:proofErr w:type="gramEnd"/>
      <w:r w:rsidRPr="00125EB4">
        <w:rPr>
          <w:rFonts w:ascii="Arial" w:hAnsi="Arial" w:cs="Arial"/>
          <w:sz w:val="23"/>
          <w:szCs w:val="23"/>
        </w:rPr>
        <w:t xml:space="preserve"> plans, risk appetite and performance targets for the Group; </w:t>
      </w:r>
    </w:p>
    <w:p w:rsidR="00125EB4" w:rsidRPr="00125EB4" w:rsidRDefault="00125EB4" w:rsidP="00125EB4">
      <w:pPr>
        <w:autoSpaceDE w:val="0"/>
        <w:autoSpaceDN w:val="0"/>
        <w:adjustRightInd w:val="0"/>
        <w:spacing w:after="0" w:line="240" w:lineRule="auto"/>
        <w:rPr>
          <w:rFonts w:ascii="Arial" w:hAnsi="Arial" w:cs="Arial"/>
          <w:sz w:val="23"/>
          <w:szCs w:val="23"/>
        </w:rPr>
      </w:pPr>
      <w:r w:rsidRPr="00125EB4">
        <w:rPr>
          <w:rFonts w:ascii="Arial" w:hAnsi="Arial" w:cs="Arial"/>
          <w:sz w:val="23"/>
          <w:szCs w:val="23"/>
        </w:rPr>
        <w:t>(ii)</w:t>
      </w:r>
      <w:r>
        <w:rPr>
          <w:rFonts w:ascii="Arial" w:hAnsi="Arial" w:cs="Arial"/>
          <w:sz w:val="23"/>
          <w:szCs w:val="23"/>
        </w:rPr>
        <w:t xml:space="preserve"> </w:t>
      </w:r>
      <w:proofErr w:type="gramStart"/>
      <w:r w:rsidRPr="00125EB4">
        <w:rPr>
          <w:rFonts w:ascii="Arial" w:hAnsi="Arial" w:cs="Arial"/>
          <w:sz w:val="23"/>
          <w:szCs w:val="23"/>
        </w:rPr>
        <w:t>the</w:t>
      </w:r>
      <w:proofErr w:type="gramEnd"/>
      <w:r w:rsidRPr="00125EB4">
        <w:rPr>
          <w:rFonts w:ascii="Arial" w:hAnsi="Arial" w:cs="Arial"/>
          <w:sz w:val="23"/>
          <w:szCs w:val="23"/>
        </w:rPr>
        <w:t xml:space="preserve"> establishment of effective procedures for monitoring and control of operations including internal procedures for audit, risk and compliance; </w:t>
      </w:r>
    </w:p>
    <w:p w:rsidR="00125EB4" w:rsidRDefault="00125EB4" w:rsidP="00125EB4">
      <w:pPr>
        <w:autoSpaceDE w:val="0"/>
        <w:autoSpaceDN w:val="0"/>
        <w:adjustRightInd w:val="0"/>
        <w:spacing w:after="0" w:line="240" w:lineRule="auto"/>
        <w:rPr>
          <w:rFonts w:ascii="Arial" w:hAnsi="Arial" w:cs="Arial"/>
          <w:sz w:val="23"/>
          <w:szCs w:val="23"/>
        </w:rPr>
      </w:pPr>
    </w:p>
    <w:p w:rsidR="00125EB4" w:rsidRPr="00125EB4" w:rsidRDefault="00125EB4" w:rsidP="00125EB4">
      <w:pPr>
        <w:autoSpaceDE w:val="0"/>
        <w:autoSpaceDN w:val="0"/>
        <w:adjustRightInd w:val="0"/>
        <w:spacing w:after="0" w:line="240" w:lineRule="auto"/>
        <w:rPr>
          <w:rFonts w:ascii="Arial" w:hAnsi="Arial" w:cs="Arial"/>
          <w:sz w:val="23"/>
          <w:szCs w:val="23"/>
        </w:rPr>
      </w:pPr>
      <w:r w:rsidRPr="00125EB4">
        <w:rPr>
          <w:rFonts w:ascii="Arial" w:hAnsi="Arial" w:cs="Arial"/>
          <w:sz w:val="23"/>
          <w:szCs w:val="23"/>
        </w:rPr>
        <w:t>(iii)</w:t>
      </w:r>
      <w:r>
        <w:rPr>
          <w:rFonts w:ascii="Arial" w:hAnsi="Arial" w:cs="Arial"/>
          <w:sz w:val="23"/>
          <w:szCs w:val="23"/>
        </w:rPr>
        <w:t xml:space="preserve"> </w:t>
      </w:r>
      <w:r w:rsidRPr="00125EB4">
        <w:rPr>
          <w:rFonts w:ascii="Arial" w:hAnsi="Arial" w:cs="Arial"/>
          <w:sz w:val="23"/>
          <w:szCs w:val="23"/>
        </w:rPr>
        <w:t xml:space="preserve">the authority or the delegation of authority to approve (a) credit, (b) market risk limits, (c) an acquisition, disposal, investment, capital expenditure or realisation or creation of a new venture; </w:t>
      </w:r>
    </w:p>
    <w:p w:rsidR="00125EB4" w:rsidRDefault="00125EB4" w:rsidP="00125EB4">
      <w:pPr>
        <w:autoSpaceDE w:val="0"/>
        <w:autoSpaceDN w:val="0"/>
        <w:adjustRightInd w:val="0"/>
        <w:spacing w:after="0" w:line="240" w:lineRule="auto"/>
        <w:rPr>
          <w:rFonts w:ascii="Arial" w:hAnsi="Arial" w:cs="Arial"/>
          <w:sz w:val="23"/>
          <w:szCs w:val="23"/>
        </w:rPr>
      </w:pPr>
    </w:p>
    <w:p w:rsidR="00125EB4" w:rsidRPr="00125EB4" w:rsidRDefault="00125EB4" w:rsidP="00125EB4">
      <w:pPr>
        <w:autoSpaceDE w:val="0"/>
        <w:autoSpaceDN w:val="0"/>
        <w:adjustRightInd w:val="0"/>
        <w:spacing w:after="0" w:line="240" w:lineRule="auto"/>
        <w:rPr>
          <w:rFonts w:ascii="Arial" w:hAnsi="Arial" w:cs="Arial"/>
          <w:sz w:val="23"/>
          <w:szCs w:val="23"/>
        </w:rPr>
      </w:pPr>
      <w:r w:rsidRPr="00125EB4">
        <w:rPr>
          <w:rFonts w:ascii="Arial" w:hAnsi="Arial" w:cs="Arial"/>
          <w:sz w:val="23"/>
          <w:szCs w:val="23"/>
        </w:rPr>
        <w:t xml:space="preserve">(iv) appointments to the positions listed in the Appendix (including, for the avoidance of doubt, appointments that are analogous, appointments of successors by whatever title and appointments of alternate directors); and </w:t>
      </w:r>
    </w:p>
    <w:p w:rsidR="00125EB4" w:rsidRDefault="00125EB4" w:rsidP="00125EB4">
      <w:pPr>
        <w:autoSpaceDE w:val="0"/>
        <w:autoSpaceDN w:val="0"/>
        <w:adjustRightInd w:val="0"/>
        <w:spacing w:after="0" w:line="240" w:lineRule="auto"/>
        <w:rPr>
          <w:rFonts w:ascii="Arial" w:hAnsi="Arial" w:cs="Arial"/>
          <w:sz w:val="23"/>
          <w:szCs w:val="23"/>
        </w:rPr>
      </w:pPr>
    </w:p>
    <w:p w:rsidR="00125EB4" w:rsidRPr="00125EB4" w:rsidRDefault="00125EB4" w:rsidP="00125EB4">
      <w:pPr>
        <w:autoSpaceDE w:val="0"/>
        <w:autoSpaceDN w:val="0"/>
        <w:adjustRightInd w:val="0"/>
        <w:spacing w:after="0" w:line="240" w:lineRule="auto"/>
        <w:rPr>
          <w:rFonts w:ascii="Arial" w:hAnsi="Arial" w:cs="Arial"/>
          <w:sz w:val="23"/>
          <w:szCs w:val="23"/>
        </w:rPr>
      </w:pPr>
      <w:r w:rsidRPr="00125EB4">
        <w:rPr>
          <w:rFonts w:ascii="Arial" w:hAnsi="Arial" w:cs="Arial"/>
          <w:sz w:val="23"/>
          <w:szCs w:val="23"/>
        </w:rPr>
        <w:t xml:space="preserve">(v) any substantial change in the policies established from time to time by the Board for balance sheet management including capital adequacy, credit, liquidity, maturity structure of assets and liabilities, interest rate and exchange rate risks and asset concentration both geographically, by sector and global business. </w:t>
      </w:r>
    </w:p>
    <w:p w:rsidR="00125EB4" w:rsidRPr="00125EB4" w:rsidRDefault="00125EB4" w:rsidP="00125EB4">
      <w:pPr>
        <w:autoSpaceDE w:val="0"/>
        <w:autoSpaceDN w:val="0"/>
        <w:adjustRightInd w:val="0"/>
        <w:spacing w:after="0" w:line="240" w:lineRule="auto"/>
        <w:rPr>
          <w:rFonts w:ascii="Arial" w:hAnsi="Arial" w:cs="Arial"/>
          <w:sz w:val="23"/>
          <w:szCs w:val="23"/>
        </w:rPr>
      </w:pPr>
    </w:p>
    <w:p w:rsidR="00125EB4" w:rsidRDefault="00125EB4" w:rsidP="00125EB4">
      <w:pPr>
        <w:autoSpaceDE w:val="0"/>
        <w:autoSpaceDN w:val="0"/>
        <w:adjustRightInd w:val="0"/>
        <w:spacing w:after="0" w:line="240" w:lineRule="auto"/>
        <w:ind w:left="720" w:hanging="720"/>
        <w:jc w:val="both"/>
        <w:rPr>
          <w:rFonts w:ascii="Arial" w:hAnsi="Arial" w:cs="Arial"/>
          <w:b/>
          <w:bCs/>
          <w:sz w:val="23"/>
          <w:szCs w:val="23"/>
        </w:rPr>
      </w:pPr>
      <w:r w:rsidRPr="00125EB4">
        <w:rPr>
          <w:rFonts w:ascii="Arial" w:hAnsi="Arial" w:cs="Arial"/>
          <w:b/>
          <w:bCs/>
          <w:sz w:val="23"/>
          <w:szCs w:val="23"/>
        </w:rPr>
        <w:t xml:space="preserve">Responsibilities of the Board </w:t>
      </w:r>
    </w:p>
    <w:p w:rsidR="00125EB4" w:rsidRPr="00125EB4" w:rsidRDefault="00125EB4" w:rsidP="00125EB4">
      <w:pPr>
        <w:autoSpaceDE w:val="0"/>
        <w:autoSpaceDN w:val="0"/>
        <w:adjustRightInd w:val="0"/>
        <w:spacing w:after="0" w:line="240" w:lineRule="auto"/>
        <w:ind w:left="720" w:hanging="720"/>
        <w:jc w:val="both"/>
        <w:rPr>
          <w:rFonts w:ascii="Arial" w:hAnsi="Arial" w:cs="Arial"/>
          <w:sz w:val="23"/>
          <w:szCs w:val="23"/>
        </w:rPr>
      </w:pPr>
    </w:p>
    <w:p w:rsidR="00125EB4" w:rsidRPr="00125EB4" w:rsidRDefault="00125EB4" w:rsidP="00125EB4">
      <w:pPr>
        <w:autoSpaceDE w:val="0"/>
        <w:autoSpaceDN w:val="0"/>
        <w:adjustRightInd w:val="0"/>
        <w:spacing w:after="0" w:line="240" w:lineRule="auto"/>
        <w:jc w:val="both"/>
        <w:rPr>
          <w:rFonts w:ascii="Arial" w:hAnsi="Arial" w:cs="Arial"/>
          <w:sz w:val="23"/>
          <w:szCs w:val="23"/>
        </w:rPr>
      </w:pPr>
      <w:r w:rsidRPr="00125EB4">
        <w:rPr>
          <w:rFonts w:ascii="Arial" w:hAnsi="Arial" w:cs="Arial"/>
          <w:sz w:val="23"/>
          <w:szCs w:val="23"/>
        </w:rPr>
        <w:t xml:space="preserve">The Board’s responsibilities include, but are not limited to: </w:t>
      </w:r>
    </w:p>
    <w:p w:rsidR="00125EB4" w:rsidRPr="00125EB4" w:rsidRDefault="00125EB4" w:rsidP="00125EB4">
      <w:pPr>
        <w:autoSpaceDE w:val="0"/>
        <w:autoSpaceDN w:val="0"/>
        <w:adjustRightInd w:val="0"/>
        <w:spacing w:after="0" w:line="240" w:lineRule="auto"/>
        <w:rPr>
          <w:rFonts w:ascii="Arial" w:hAnsi="Arial" w:cs="Arial"/>
          <w:sz w:val="23"/>
          <w:szCs w:val="23"/>
        </w:rPr>
      </w:pPr>
    </w:p>
    <w:p w:rsidR="00125EB4" w:rsidRPr="00125EB4" w:rsidRDefault="00125EB4" w:rsidP="00125EB4">
      <w:pPr>
        <w:pStyle w:val="ListParagraph"/>
        <w:numPr>
          <w:ilvl w:val="0"/>
          <w:numId w:val="3"/>
        </w:numPr>
        <w:autoSpaceDE w:val="0"/>
        <w:autoSpaceDN w:val="0"/>
        <w:adjustRightInd w:val="0"/>
        <w:spacing w:after="0" w:line="240" w:lineRule="auto"/>
        <w:rPr>
          <w:rFonts w:ascii="Arial" w:hAnsi="Arial" w:cs="Arial"/>
          <w:sz w:val="23"/>
          <w:szCs w:val="23"/>
        </w:rPr>
      </w:pPr>
      <w:proofErr w:type="gramStart"/>
      <w:r w:rsidRPr="00125EB4">
        <w:rPr>
          <w:rFonts w:ascii="Arial" w:hAnsi="Arial" w:cs="Arial"/>
          <w:sz w:val="23"/>
          <w:szCs w:val="23"/>
        </w:rPr>
        <w:t>the</w:t>
      </w:r>
      <w:proofErr w:type="gramEnd"/>
      <w:r w:rsidRPr="00125EB4">
        <w:rPr>
          <w:rFonts w:ascii="Arial" w:hAnsi="Arial" w:cs="Arial"/>
          <w:sz w:val="23"/>
          <w:szCs w:val="23"/>
        </w:rPr>
        <w:t xml:space="preserve"> oversight of corporate governance. It shall oversee or delegate responsibility for the oversight of corporate governance to one or more Committees of the Board, as it sees fit, for: </w:t>
      </w:r>
    </w:p>
    <w:p w:rsidR="00125EB4" w:rsidRPr="00125EB4" w:rsidRDefault="00125EB4" w:rsidP="00125EB4">
      <w:pPr>
        <w:autoSpaceDE w:val="0"/>
        <w:autoSpaceDN w:val="0"/>
        <w:adjustRightInd w:val="0"/>
        <w:spacing w:after="0" w:line="240" w:lineRule="auto"/>
        <w:rPr>
          <w:rFonts w:ascii="Arial" w:hAnsi="Arial" w:cs="Arial"/>
          <w:sz w:val="23"/>
          <w:szCs w:val="23"/>
        </w:rPr>
      </w:pPr>
    </w:p>
    <w:p w:rsidR="00125EB4" w:rsidRPr="00125EB4" w:rsidRDefault="00125EB4" w:rsidP="00125EB4">
      <w:pPr>
        <w:autoSpaceDE w:val="0"/>
        <w:autoSpaceDN w:val="0"/>
        <w:adjustRightInd w:val="0"/>
        <w:spacing w:after="0" w:line="240" w:lineRule="auto"/>
        <w:ind w:left="360"/>
        <w:rPr>
          <w:rFonts w:ascii="Arial" w:hAnsi="Arial" w:cs="Arial"/>
          <w:sz w:val="23"/>
          <w:szCs w:val="23"/>
        </w:rPr>
      </w:pPr>
      <w:r w:rsidRPr="00125EB4">
        <w:rPr>
          <w:rFonts w:ascii="Arial" w:hAnsi="Arial" w:cs="Arial"/>
          <w:sz w:val="23"/>
          <w:szCs w:val="23"/>
        </w:rPr>
        <w:t>(</w:t>
      </w:r>
      <w:proofErr w:type="spellStart"/>
      <w:r w:rsidRPr="00125EB4">
        <w:rPr>
          <w:rFonts w:ascii="Arial" w:hAnsi="Arial" w:cs="Arial"/>
          <w:sz w:val="23"/>
          <w:szCs w:val="23"/>
        </w:rPr>
        <w:t>i</w:t>
      </w:r>
      <w:proofErr w:type="spellEnd"/>
      <w:r w:rsidRPr="00125EB4">
        <w:rPr>
          <w:rFonts w:ascii="Arial" w:hAnsi="Arial" w:cs="Arial"/>
          <w:sz w:val="23"/>
          <w:szCs w:val="23"/>
        </w:rPr>
        <w:t xml:space="preserve">) </w:t>
      </w:r>
      <w:proofErr w:type="gramStart"/>
      <w:r w:rsidRPr="00125EB4">
        <w:rPr>
          <w:rFonts w:ascii="Arial" w:hAnsi="Arial" w:cs="Arial"/>
          <w:sz w:val="23"/>
          <w:szCs w:val="23"/>
        </w:rPr>
        <w:t>development</w:t>
      </w:r>
      <w:proofErr w:type="gramEnd"/>
      <w:r w:rsidRPr="00125EB4">
        <w:rPr>
          <w:rFonts w:ascii="Arial" w:hAnsi="Arial" w:cs="Arial"/>
          <w:sz w:val="23"/>
          <w:szCs w:val="23"/>
        </w:rPr>
        <w:t xml:space="preserve"> and review of Group policies and practices on corporate governance; </w:t>
      </w:r>
    </w:p>
    <w:p w:rsidR="00125EB4" w:rsidRPr="00125EB4" w:rsidRDefault="00125EB4" w:rsidP="00125EB4">
      <w:pPr>
        <w:autoSpaceDE w:val="0"/>
        <w:autoSpaceDN w:val="0"/>
        <w:adjustRightInd w:val="0"/>
        <w:spacing w:after="0" w:line="240" w:lineRule="auto"/>
        <w:ind w:left="360"/>
        <w:rPr>
          <w:rFonts w:ascii="Arial" w:hAnsi="Arial" w:cs="Arial"/>
          <w:sz w:val="23"/>
          <w:szCs w:val="23"/>
        </w:rPr>
      </w:pPr>
    </w:p>
    <w:p w:rsidR="00125EB4" w:rsidRPr="00125EB4" w:rsidRDefault="00125EB4" w:rsidP="00125EB4">
      <w:pPr>
        <w:autoSpaceDE w:val="0"/>
        <w:autoSpaceDN w:val="0"/>
        <w:adjustRightInd w:val="0"/>
        <w:spacing w:after="0" w:line="240" w:lineRule="auto"/>
        <w:ind w:left="360"/>
        <w:rPr>
          <w:rFonts w:ascii="Arial" w:hAnsi="Arial" w:cs="Arial"/>
          <w:sz w:val="23"/>
          <w:szCs w:val="23"/>
        </w:rPr>
      </w:pPr>
      <w:r w:rsidRPr="00125EB4">
        <w:rPr>
          <w:rFonts w:ascii="Arial" w:hAnsi="Arial" w:cs="Arial"/>
          <w:sz w:val="23"/>
          <w:szCs w:val="23"/>
        </w:rPr>
        <w:t>(ii)</w:t>
      </w:r>
      <w:r>
        <w:rPr>
          <w:rFonts w:ascii="Arial" w:hAnsi="Arial" w:cs="Arial"/>
          <w:sz w:val="23"/>
          <w:szCs w:val="23"/>
        </w:rPr>
        <w:t xml:space="preserve"> </w:t>
      </w:r>
      <w:proofErr w:type="gramStart"/>
      <w:r w:rsidRPr="00125EB4">
        <w:rPr>
          <w:rFonts w:ascii="Arial" w:hAnsi="Arial" w:cs="Arial"/>
          <w:sz w:val="23"/>
          <w:szCs w:val="23"/>
        </w:rPr>
        <w:t>review</w:t>
      </w:r>
      <w:proofErr w:type="gramEnd"/>
      <w:r w:rsidRPr="00125EB4">
        <w:rPr>
          <w:rFonts w:ascii="Arial" w:hAnsi="Arial" w:cs="Arial"/>
          <w:sz w:val="23"/>
          <w:szCs w:val="23"/>
        </w:rPr>
        <w:t xml:space="preserve"> and monitoring of training and continuous professional development of Directors and senior management; </w:t>
      </w:r>
    </w:p>
    <w:p w:rsidR="00125EB4" w:rsidRPr="00125EB4" w:rsidRDefault="00125EB4" w:rsidP="00125EB4">
      <w:pPr>
        <w:autoSpaceDE w:val="0"/>
        <w:autoSpaceDN w:val="0"/>
        <w:adjustRightInd w:val="0"/>
        <w:spacing w:after="0" w:line="240" w:lineRule="auto"/>
        <w:ind w:left="360"/>
        <w:rPr>
          <w:rFonts w:ascii="Arial" w:hAnsi="Arial" w:cs="Arial"/>
          <w:sz w:val="23"/>
          <w:szCs w:val="23"/>
        </w:rPr>
      </w:pPr>
    </w:p>
    <w:p w:rsidR="00125EB4" w:rsidRPr="00125EB4" w:rsidRDefault="00125EB4" w:rsidP="00125EB4">
      <w:pPr>
        <w:autoSpaceDE w:val="0"/>
        <w:autoSpaceDN w:val="0"/>
        <w:adjustRightInd w:val="0"/>
        <w:spacing w:after="0" w:line="240" w:lineRule="auto"/>
        <w:ind w:left="360"/>
        <w:rPr>
          <w:rFonts w:ascii="Arial" w:hAnsi="Arial" w:cs="Arial"/>
          <w:sz w:val="23"/>
          <w:szCs w:val="23"/>
        </w:rPr>
      </w:pPr>
      <w:r w:rsidRPr="00125EB4">
        <w:rPr>
          <w:rFonts w:ascii="Arial" w:hAnsi="Arial" w:cs="Arial"/>
          <w:sz w:val="23"/>
          <w:szCs w:val="23"/>
        </w:rPr>
        <w:t xml:space="preserve">(iii) </w:t>
      </w:r>
      <w:proofErr w:type="gramStart"/>
      <w:r w:rsidRPr="00125EB4">
        <w:rPr>
          <w:rFonts w:ascii="Arial" w:hAnsi="Arial" w:cs="Arial"/>
          <w:sz w:val="23"/>
          <w:szCs w:val="23"/>
        </w:rPr>
        <w:t>review</w:t>
      </w:r>
      <w:proofErr w:type="gramEnd"/>
      <w:r w:rsidRPr="00125EB4">
        <w:rPr>
          <w:rFonts w:ascii="Arial" w:hAnsi="Arial" w:cs="Arial"/>
          <w:sz w:val="23"/>
          <w:szCs w:val="23"/>
        </w:rPr>
        <w:t xml:space="preserve"> and monitoring of Group policies and practices on compliance with legal and regulatory requirements; </w:t>
      </w:r>
    </w:p>
    <w:p w:rsidR="00125EB4" w:rsidRPr="00125EB4" w:rsidRDefault="00125EB4" w:rsidP="00125EB4">
      <w:pPr>
        <w:autoSpaceDE w:val="0"/>
        <w:autoSpaceDN w:val="0"/>
        <w:adjustRightInd w:val="0"/>
        <w:spacing w:after="0" w:line="240" w:lineRule="auto"/>
        <w:ind w:left="360"/>
        <w:rPr>
          <w:rFonts w:ascii="Arial" w:hAnsi="Arial" w:cs="Arial"/>
          <w:sz w:val="23"/>
          <w:szCs w:val="23"/>
        </w:rPr>
      </w:pPr>
    </w:p>
    <w:p w:rsidR="00125EB4" w:rsidRPr="00125EB4" w:rsidRDefault="00125EB4" w:rsidP="00125EB4">
      <w:pPr>
        <w:autoSpaceDE w:val="0"/>
        <w:autoSpaceDN w:val="0"/>
        <w:adjustRightInd w:val="0"/>
        <w:spacing w:after="0" w:line="240" w:lineRule="auto"/>
        <w:ind w:left="360"/>
        <w:rPr>
          <w:rFonts w:ascii="Arial" w:hAnsi="Arial" w:cs="Arial"/>
          <w:sz w:val="23"/>
          <w:szCs w:val="23"/>
        </w:rPr>
      </w:pPr>
      <w:r w:rsidRPr="00125EB4">
        <w:rPr>
          <w:rFonts w:ascii="Arial" w:hAnsi="Arial" w:cs="Arial"/>
          <w:sz w:val="23"/>
          <w:szCs w:val="23"/>
        </w:rPr>
        <w:t>(iv)</w:t>
      </w:r>
      <w:r>
        <w:rPr>
          <w:rFonts w:ascii="Arial" w:hAnsi="Arial" w:cs="Arial"/>
          <w:sz w:val="23"/>
          <w:szCs w:val="23"/>
        </w:rPr>
        <w:t xml:space="preserve"> </w:t>
      </w:r>
      <w:r w:rsidRPr="00125EB4">
        <w:rPr>
          <w:rFonts w:ascii="Arial" w:hAnsi="Arial" w:cs="Arial"/>
          <w:sz w:val="23"/>
          <w:szCs w:val="23"/>
        </w:rPr>
        <w:t xml:space="preserve">development, review and monitoring of the application of HSBC Values and Business Principles and the compliance manual (if any) applicable to employees and Directors; and </w:t>
      </w:r>
    </w:p>
    <w:p w:rsidR="00125EB4" w:rsidRPr="00125EB4" w:rsidRDefault="00125EB4" w:rsidP="00125EB4">
      <w:pPr>
        <w:autoSpaceDE w:val="0"/>
        <w:autoSpaceDN w:val="0"/>
        <w:adjustRightInd w:val="0"/>
        <w:spacing w:after="0" w:line="240" w:lineRule="auto"/>
        <w:ind w:left="360"/>
        <w:rPr>
          <w:rFonts w:ascii="Arial" w:hAnsi="Arial" w:cs="Arial"/>
          <w:sz w:val="23"/>
          <w:szCs w:val="23"/>
        </w:rPr>
      </w:pPr>
    </w:p>
    <w:p w:rsidR="00125EB4" w:rsidRPr="00125EB4" w:rsidRDefault="00125EB4" w:rsidP="00125EB4">
      <w:pPr>
        <w:autoSpaceDE w:val="0"/>
        <w:autoSpaceDN w:val="0"/>
        <w:adjustRightInd w:val="0"/>
        <w:spacing w:after="0" w:line="240" w:lineRule="auto"/>
        <w:ind w:left="360"/>
        <w:rPr>
          <w:rFonts w:ascii="Arial" w:hAnsi="Arial" w:cs="Arial"/>
          <w:sz w:val="23"/>
          <w:szCs w:val="23"/>
        </w:rPr>
      </w:pPr>
      <w:r w:rsidRPr="00125EB4">
        <w:rPr>
          <w:rFonts w:ascii="Arial" w:hAnsi="Arial" w:cs="Arial"/>
          <w:sz w:val="23"/>
          <w:szCs w:val="23"/>
        </w:rPr>
        <w:lastRenderedPageBreak/>
        <w:t xml:space="preserve">(v) </w:t>
      </w:r>
      <w:proofErr w:type="gramStart"/>
      <w:r w:rsidRPr="00125EB4">
        <w:rPr>
          <w:rFonts w:ascii="Arial" w:hAnsi="Arial" w:cs="Arial"/>
          <w:sz w:val="23"/>
          <w:szCs w:val="23"/>
        </w:rPr>
        <w:t>review</w:t>
      </w:r>
      <w:proofErr w:type="gramEnd"/>
      <w:r w:rsidRPr="00125EB4">
        <w:rPr>
          <w:rFonts w:ascii="Arial" w:hAnsi="Arial" w:cs="Arial"/>
          <w:sz w:val="23"/>
          <w:szCs w:val="23"/>
        </w:rPr>
        <w:t xml:space="preserve"> of the Group’s compliance with the UK Corporate Governance Code, The Hong Kong Code on Corporate Governance Practices, and any other corporate governance code the Board considers appropriate from time to time and the disclosures on corporate governance made in the Annual Report and Accounts. </w:t>
      </w:r>
    </w:p>
    <w:p w:rsidR="00125EB4" w:rsidRPr="00125EB4" w:rsidRDefault="00125EB4" w:rsidP="00125EB4">
      <w:pPr>
        <w:autoSpaceDE w:val="0"/>
        <w:autoSpaceDN w:val="0"/>
        <w:adjustRightInd w:val="0"/>
        <w:spacing w:after="0" w:line="240" w:lineRule="auto"/>
        <w:rPr>
          <w:rFonts w:ascii="Arial" w:hAnsi="Arial" w:cs="Arial"/>
          <w:sz w:val="23"/>
          <w:szCs w:val="23"/>
        </w:rPr>
      </w:pPr>
    </w:p>
    <w:p w:rsidR="00125EB4" w:rsidRPr="00125EB4" w:rsidRDefault="00125EB4" w:rsidP="00125EB4">
      <w:pPr>
        <w:pStyle w:val="ListParagraph"/>
        <w:numPr>
          <w:ilvl w:val="0"/>
          <w:numId w:val="3"/>
        </w:numPr>
        <w:autoSpaceDE w:val="0"/>
        <w:autoSpaceDN w:val="0"/>
        <w:adjustRightInd w:val="0"/>
        <w:spacing w:after="0" w:line="240" w:lineRule="auto"/>
        <w:rPr>
          <w:rFonts w:ascii="Arial" w:hAnsi="Arial" w:cs="Arial"/>
          <w:sz w:val="23"/>
          <w:szCs w:val="23"/>
        </w:rPr>
      </w:pPr>
      <w:proofErr w:type="gramStart"/>
      <w:r w:rsidRPr="00125EB4">
        <w:rPr>
          <w:rFonts w:ascii="Arial" w:hAnsi="Arial" w:cs="Arial"/>
          <w:sz w:val="23"/>
          <w:szCs w:val="23"/>
        </w:rPr>
        <w:t>the</w:t>
      </w:r>
      <w:proofErr w:type="gramEnd"/>
      <w:r w:rsidRPr="00125EB4">
        <w:rPr>
          <w:rFonts w:ascii="Arial" w:hAnsi="Arial" w:cs="Arial"/>
          <w:sz w:val="23"/>
          <w:szCs w:val="23"/>
        </w:rPr>
        <w:t xml:space="preserve"> oversight of large-scale change and transformation programmes. </w:t>
      </w:r>
    </w:p>
    <w:p w:rsidR="00125EB4" w:rsidRPr="00125EB4" w:rsidRDefault="00125EB4" w:rsidP="00125EB4">
      <w:pPr>
        <w:autoSpaceDE w:val="0"/>
        <w:autoSpaceDN w:val="0"/>
        <w:adjustRightInd w:val="0"/>
        <w:spacing w:after="0" w:line="240" w:lineRule="auto"/>
        <w:rPr>
          <w:rFonts w:ascii="Arial" w:hAnsi="Arial" w:cs="Arial"/>
          <w:sz w:val="23"/>
          <w:szCs w:val="23"/>
        </w:rPr>
      </w:pPr>
    </w:p>
    <w:p w:rsidR="00125EB4" w:rsidRPr="00125EB4" w:rsidRDefault="00125EB4" w:rsidP="00125EB4">
      <w:pPr>
        <w:autoSpaceDE w:val="0"/>
        <w:autoSpaceDN w:val="0"/>
        <w:adjustRightInd w:val="0"/>
        <w:spacing w:after="0" w:line="240" w:lineRule="auto"/>
        <w:jc w:val="both"/>
        <w:rPr>
          <w:rFonts w:ascii="Arial" w:hAnsi="Arial" w:cs="Arial"/>
          <w:sz w:val="23"/>
          <w:szCs w:val="23"/>
        </w:rPr>
      </w:pPr>
      <w:r w:rsidRPr="00125EB4">
        <w:rPr>
          <w:rFonts w:ascii="Arial" w:hAnsi="Arial" w:cs="Arial"/>
          <w:b/>
          <w:bCs/>
          <w:sz w:val="23"/>
          <w:szCs w:val="23"/>
        </w:rPr>
        <w:t xml:space="preserve">Powers of the Board to delegate </w:t>
      </w:r>
    </w:p>
    <w:p w:rsidR="00125EB4" w:rsidRDefault="00125EB4" w:rsidP="00125EB4">
      <w:pPr>
        <w:autoSpaceDE w:val="0"/>
        <w:autoSpaceDN w:val="0"/>
        <w:adjustRightInd w:val="0"/>
        <w:spacing w:after="0" w:line="240" w:lineRule="auto"/>
        <w:rPr>
          <w:rFonts w:ascii="Arial" w:hAnsi="Arial" w:cs="Arial"/>
          <w:sz w:val="23"/>
          <w:szCs w:val="23"/>
        </w:rPr>
      </w:pPr>
    </w:p>
    <w:p w:rsidR="00125EB4" w:rsidRPr="00125EB4" w:rsidRDefault="00125EB4" w:rsidP="00125EB4">
      <w:pPr>
        <w:pStyle w:val="ListParagraph"/>
        <w:numPr>
          <w:ilvl w:val="0"/>
          <w:numId w:val="5"/>
        </w:numPr>
        <w:autoSpaceDE w:val="0"/>
        <w:autoSpaceDN w:val="0"/>
        <w:adjustRightInd w:val="0"/>
        <w:spacing w:after="0" w:line="240" w:lineRule="auto"/>
        <w:rPr>
          <w:rFonts w:ascii="Arial" w:hAnsi="Arial" w:cs="Arial"/>
          <w:sz w:val="23"/>
          <w:szCs w:val="23"/>
        </w:rPr>
      </w:pPr>
      <w:r w:rsidRPr="00125EB4">
        <w:rPr>
          <w:rFonts w:ascii="Arial" w:hAnsi="Arial" w:cs="Arial"/>
          <w:sz w:val="23"/>
          <w:szCs w:val="23"/>
        </w:rPr>
        <w:t xml:space="preserve">The Board may delegate and confer on any Directors holding executive office any of its powers, authorities and discretions (including the power to sub-delegate) for such time and on such terms as it thinks fit. </w:t>
      </w:r>
    </w:p>
    <w:p w:rsidR="00125EB4" w:rsidRPr="00125EB4" w:rsidRDefault="00125EB4" w:rsidP="00125EB4">
      <w:pPr>
        <w:autoSpaceDE w:val="0"/>
        <w:autoSpaceDN w:val="0"/>
        <w:adjustRightInd w:val="0"/>
        <w:spacing w:after="0" w:line="240" w:lineRule="auto"/>
        <w:rPr>
          <w:rFonts w:ascii="Arial" w:hAnsi="Arial" w:cs="Arial"/>
          <w:sz w:val="23"/>
          <w:szCs w:val="23"/>
        </w:rPr>
      </w:pPr>
    </w:p>
    <w:p w:rsidR="00125EB4" w:rsidRPr="00125EB4" w:rsidRDefault="00125EB4" w:rsidP="00125EB4">
      <w:pPr>
        <w:pStyle w:val="ListParagraph"/>
        <w:numPr>
          <w:ilvl w:val="0"/>
          <w:numId w:val="5"/>
        </w:numPr>
        <w:autoSpaceDE w:val="0"/>
        <w:autoSpaceDN w:val="0"/>
        <w:adjustRightInd w:val="0"/>
        <w:spacing w:after="0" w:line="240" w:lineRule="auto"/>
        <w:rPr>
          <w:rFonts w:ascii="Arial" w:hAnsi="Arial" w:cs="Arial"/>
          <w:sz w:val="23"/>
          <w:szCs w:val="23"/>
        </w:rPr>
      </w:pPr>
      <w:r w:rsidRPr="00125EB4">
        <w:rPr>
          <w:rFonts w:ascii="Arial" w:hAnsi="Arial" w:cs="Arial"/>
          <w:sz w:val="23"/>
          <w:szCs w:val="23"/>
        </w:rPr>
        <w:t xml:space="preserve">The Board may delegate any of its powers, authorities and discretions (including the power to sub-delegate) for such time and on such terms as it thinks fit to any committee consisting of one or more Directors and (if thought fit) one or more other persons, provided that where the committee consists of more than one member, not less than two members of such committee shall be Directors or alternate Directors, and no resolution of a committee shall be effective unless one of those present when it is passed is a Director (or his alternate). </w:t>
      </w:r>
    </w:p>
    <w:p w:rsidR="00125EB4" w:rsidRPr="00125EB4" w:rsidRDefault="00125EB4" w:rsidP="00125EB4">
      <w:pPr>
        <w:autoSpaceDE w:val="0"/>
        <w:autoSpaceDN w:val="0"/>
        <w:adjustRightInd w:val="0"/>
        <w:spacing w:after="0" w:line="240" w:lineRule="auto"/>
        <w:rPr>
          <w:rFonts w:ascii="Arial" w:hAnsi="Arial" w:cs="Arial"/>
          <w:sz w:val="23"/>
          <w:szCs w:val="23"/>
        </w:rPr>
      </w:pPr>
    </w:p>
    <w:p w:rsidR="00125EB4" w:rsidRPr="00125EB4" w:rsidRDefault="00125EB4" w:rsidP="00125EB4">
      <w:pPr>
        <w:pStyle w:val="ListParagraph"/>
        <w:numPr>
          <w:ilvl w:val="0"/>
          <w:numId w:val="5"/>
        </w:numPr>
        <w:autoSpaceDE w:val="0"/>
        <w:autoSpaceDN w:val="0"/>
        <w:adjustRightInd w:val="0"/>
        <w:spacing w:after="0" w:line="240" w:lineRule="auto"/>
        <w:rPr>
          <w:rFonts w:ascii="Arial" w:hAnsi="Arial" w:cs="Arial"/>
          <w:sz w:val="23"/>
          <w:szCs w:val="23"/>
        </w:rPr>
      </w:pPr>
      <w:r w:rsidRPr="00125EB4">
        <w:rPr>
          <w:rFonts w:ascii="Arial" w:hAnsi="Arial" w:cs="Arial"/>
          <w:sz w:val="23"/>
          <w:szCs w:val="23"/>
        </w:rPr>
        <w:t xml:space="preserve">The Board may establish any local or divisional boards or agencies for managing the business of the Group in any specified locality and delegate and confer on any local or divisional </w:t>
      </w:r>
      <w:proofErr w:type="gramStart"/>
      <w:r w:rsidRPr="00125EB4">
        <w:rPr>
          <w:rFonts w:ascii="Arial" w:hAnsi="Arial" w:cs="Arial"/>
          <w:sz w:val="23"/>
          <w:szCs w:val="23"/>
        </w:rPr>
        <w:t>board,</w:t>
      </w:r>
      <w:proofErr w:type="gramEnd"/>
      <w:r w:rsidRPr="00125EB4">
        <w:rPr>
          <w:rFonts w:ascii="Arial" w:hAnsi="Arial" w:cs="Arial"/>
          <w:sz w:val="23"/>
          <w:szCs w:val="23"/>
        </w:rPr>
        <w:t xml:space="preserve"> manager or agent so appointed any of its powers, authorities and discretions (including the power to sub-delegate) for such time and on such terms as it thinks fit. </w:t>
      </w:r>
    </w:p>
    <w:p w:rsidR="00125EB4" w:rsidRPr="00125EB4" w:rsidRDefault="00125EB4" w:rsidP="00125EB4">
      <w:pPr>
        <w:autoSpaceDE w:val="0"/>
        <w:autoSpaceDN w:val="0"/>
        <w:adjustRightInd w:val="0"/>
        <w:spacing w:after="0" w:line="240" w:lineRule="auto"/>
        <w:rPr>
          <w:rFonts w:ascii="Arial" w:hAnsi="Arial" w:cs="Arial"/>
          <w:sz w:val="23"/>
          <w:szCs w:val="23"/>
        </w:rPr>
      </w:pPr>
    </w:p>
    <w:p w:rsidR="00125EB4" w:rsidRPr="00125EB4" w:rsidRDefault="00125EB4" w:rsidP="00125EB4">
      <w:pPr>
        <w:pStyle w:val="ListParagraph"/>
        <w:numPr>
          <w:ilvl w:val="0"/>
          <w:numId w:val="5"/>
        </w:numPr>
        <w:autoSpaceDE w:val="0"/>
        <w:autoSpaceDN w:val="0"/>
        <w:adjustRightInd w:val="0"/>
        <w:spacing w:after="0" w:line="240" w:lineRule="auto"/>
        <w:rPr>
          <w:rFonts w:ascii="Arial" w:hAnsi="Arial" w:cs="Arial"/>
          <w:sz w:val="23"/>
          <w:szCs w:val="23"/>
        </w:rPr>
      </w:pPr>
      <w:r w:rsidRPr="00125EB4">
        <w:rPr>
          <w:rFonts w:ascii="Arial" w:hAnsi="Arial" w:cs="Arial"/>
          <w:sz w:val="23"/>
          <w:szCs w:val="23"/>
        </w:rPr>
        <w:t xml:space="preserve">The Board may also, by power of attorney or otherwise, appoint any person or persons to be the agent of the Company and may delegate to any such person or persons any of its powers, authorities and discretions (including the power to sub-delegate) for such time and on such terms as it thinks fit. </w:t>
      </w:r>
    </w:p>
    <w:p w:rsidR="00125EB4" w:rsidRPr="00125EB4" w:rsidRDefault="00125EB4" w:rsidP="00125EB4">
      <w:pPr>
        <w:autoSpaceDE w:val="0"/>
        <w:autoSpaceDN w:val="0"/>
        <w:adjustRightInd w:val="0"/>
        <w:spacing w:after="0" w:line="240" w:lineRule="auto"/>
        <w:rPr>
          <w:rFonts w:ascii="Arial" w:hAnsi="Arial" w:cs="Arial"/>
          <w:sz w:val="23"/>
          <w:szCs w:val="23"/>
        </w:rPr>
      </w:pPr>
    </w:p>
    <w:p w:rsidR="00125EB4" w:rsidRPr="00125EB4" w:rsidRDefault="00125EB4" w:rsidP="00125EB4">
      <w:pPr>
        <w:autoSpaceDE w:val="0"/>
        <w:autoSpaceDN w:val="0"/>
        <w:adjustRightInd w:val="0"/>
        <w:spacing w:after="0" w:line="240" w:lineRule="auto"/>
        <w:ind w:left="540" w:hanging="540"/>
        <w:jc w:val="both"/>
        <w:rPr>
          <w:rFonts w:ascii="Arial" w:hAnsi="Arial" w:cs="Arial"/>
          <w:sz w:val="23"/>
          <w:szCs w:val="23"/>
        </w:rPr>
      </w:pPr>
      <w:r w:rsidRPr="00125EB4">
        <w:rPr>
          <w:rFonts w:ascii="Arial" w:hAnsi="Arial" w:cs="Arial"/>
          <w:b/>
          <w:bCs/>
          <w:sz w:val="23"/>
          <w:szCs w:val="23"/>
        </w:rPr>
        <w:t xml:space="preserve">Independent Advice </w:t>
      </w:r>
    </w:p>
    <w:p w:rsidR="00125EB4" w:rsidRDefault="00125EB4" w:rsidP="00125EB4">
      <w:pPr>
        <w:autoSpaceDE w:val="0"/>
        <w:autoSpaceDN w:val="0"/>
        <w:adjustRightInd w:val="0"/>
        <w:spacing w:after="0" w:line="240" w:lineRule="auto"/>
        <w:jc w:val="both"/>
        <w:rPr>
          <w:rFonts w:ascii="Arial" w:hAnsi="Arial" w:cs="Arial"/>
          <w:sz w:val="23"/>
          <w:szCs w:val="23"/>
        </w:rPr>
      </w:pPr>
    </w:p>
    <w:p w:rsidR="00125EB4" w:rsidRPr="00125EB4" w:rsidRDefault="00125EB4" w:rsidP="00125EB4">
      <w:pPr>
        <w:autoSpaceDE w:val="0"/>
        <w:autoSpaceDN w:val="0"/>
        <w:adjustRightInd w:val="0"/>
        <w:spacing w:after="0" w:line="240" w:lineRule="auto"/>
        <w:jc w:val="both"/>
        <w:rPr>
          <w:rFonts w:ascii="Arial" w:hAnsi="Arial" w:cs="Arial"/>
          <w:sz w:val="23"/>
          <w:szCs w:val="23"/>
        </w:rPr>
      </w:pPr>
      <w:r w:rsidRPr="00125EB4">
        <w:rPr>
          <w:rFonts w:ascii="Arial" w:hAnsi="Arial" w:cs="Arial"/>
          <w:sz w:val="23"/>
          <w:szCs w:val="23"/>
        </w:rPr>
        <w:t xml:space="preserve">Directors may appoint, employ or retain such professional advisors as they may consider appropriate. Any such appointment shall be made through the Company Secretary, who shall be responsible for the contractual arrangements and payment of fees by HSBC on behalf of the Board. </w:t>
      </w:r>
    </w:p>
    <w:p w:rsidR="00125EB4" w:rsidRDefault="00125EB4" w:rsidP="00125EB4">
      <w:pPr>
        <w:autoSpaceDE w:val="0"/>
        <w:autoSpaceDN w:val="0"/>
        <w:adjustRightInd w:val="0"/>
        <w:spacing w:after="0" w:line="240" w:lineRule="auto"/>
        <w:ind w:left="540" w:hanging="540"/>
        <w:jc w:val="both"/>
        <w:rPr>
          <w:rFonts w:ascii="Arial" w:hAnsi="Arial" w:cs="Arial"/>
          <w:b/>
          <w:bCs/>
          <w:sz w:val="23"/>
          <w:szCs w:val="23"/>
        </w:rPr>
      </w:pPr>
    </w:p>
    <w:p w:rsidR="00125EB4" w:rsidRPr="00125EB4" w:rsidRDefault="00125EB4" w:rsidP="00125EB4">
      <w:pPr>
        <w:autoSpaceDE w:val="0"/>
        <w:autoSpaceDN w:val="0"/>
        <w:adjustRightInd w:val="0"/>
        <w:spacing w:after="0" w:line="240" w:lineRule="auto"/>
        <w:ind w:left="540" w:hanging="540"/>
        <w:jc w:val="both"/>
        <w:rPr>
          <w:rFonts w:ascii="Arial" w:hAnsi="Arial" w:cs="Arial"/>
          <w:sz w:val="23"/>
          <w:szCs w:val="23"/>
        </w:rPr>
      </w:pPr>
      <w:r w:rsidRPr="00125EB4">
        <w:rPr>
          <w:rFonts w:ascii="Arial" w:hAnsi="Arial" w:cs="Arial"/>
          <w:b/>
          <w:bCs/>
          <w:sz w:val="23"/>
          <w:szCs w:val="23"/>
        </w:rPr>
        <w:t xml:space="preserve">Review of terms of reference </w:t>
      </w:r>
    </w:p>
    <w:p w:rsidR="00125EB4" w:rsidRDefault="00125EB4" w:rsidP="00125EB4">
      <w:pPr>
        <w:autoSpaceDE w:val="0"/>
        <w:autoSpaceDN w:val="0"/>
        <w:adjustRightInd w:val="0"/>
        <w:spacing w:after="0" w:line="240" w:lineRule="auto"/>
        <w:jc w:val="both"/>
        <w:rPr>
          <w:rFonts w:ascii="Arial" w:hAnsi="Arial" w:cs="Arial"/>
          <w:sz w:val="23"/>
          <w:szCs w:val="23"/>
        </w:rPr>
      </w:pPr>
    </w:p>
    <w:p w:rsidR="00125EB4" w:rsidRPr="00125EB4" w:rsidRDefault="00125EB4" w:rsidP="00125EB4">
      <w:pPr>
        <w:autoSpaceDE w:val="0"/>
        <w:autoSpaceDN w:val="0"/>
        <w:adjustRightInd w:val="0"/>
        <w:spacing w:after="0" w:line="240" w:lineRule="auto"/>
        <w:jc w:val="both"/>
        <w:rPr>
          <w:rFonts w:ascii="Arial" w:hAnsi="Arial" w:cs="Arial"/>
          <w:sz w:val="23"/>
          <w:szCs w:val="23"/>
        </w:rPr>
      </w:pPr>
      <w:r w:rsidRPr="00125EB4">
        <w:rPr>
          <w:rFonts w:ascii="Arial" w:hAnsi="Arial" w:cs="Arial"/>
          <w:sz w:val="23"/>
          <w:szCs w:val="23"/>
        </w:rPr>
        <w:t xml:space="preserve">The Board shall review annually the Board’s terms of reference and its own effectiveness. </w:t>
      </w:r>
    </w:p>
    <w:p w:rsidR="00125EB4" w:rsidRPr="00125EB4" w:rsidRDefault="00125EB4" w:rsidP="00125EB4">
      <w:pPr>
        <w:pageBreakBefore/>
        <w:autoSpaceDE w:val="0"/>
        <w:autoSpaceDN w:val="0"/>
        <w:adjustRightInd w:val="0"/>
        <w:spacing w:after="0" w:line="240" w:lineRule="auto"/>
        <w:jc w:val="both"/>
        <w:rPr>
          <w:rFonts w:ascii="Arial" w:hAnsi="Arial" w:cs="Arial"/>
          <w:sz w:val="23"/>
          <w:szCs w:val="23"/>
        </w:rPr>
      </w:pPr>
      <w:r w:rsidRPr="00125EB4">
        <w:rPr>
          <w:rFonts w:ascii="Arial" w:hAnsi="Arial" w:cs="Arial"/>
          <w:b/>
          <w:bCs/>
          <w:sz w:val="23"/>
          <w:szCs w:val="23"/>
        </w:rPr>
        <w:lastRenderedPageBreak/>
        <w:t>Inconsistency with Articles</w:t>
      </w:r>
      <w:r>
        <w:rPr>
          <w:rFonts w:ascii="Arial" w:hAnsi="Arial" w:cs="Arial"/>
          <w:b/>
          <w:bCs/>
          <w:sz w:val="23"/>
          <w:szCs w:val="23"/>
        </w:rPr>
        <w:t>/Rules</w:t>
      </w:r>
      <w:r w:rsidRPr="00125EB4">
        <w:rPr>
          <w:rFonts w:ascii="Arial" w:hAnsi="Arial" w:cs="Arial"/>
          <w:b/>
          <w:bCs/>
          <w:sz w:val="23"/>
          <w:szCs w:val="23"/>
        </w:rPr>
        <w:t xml:space="preserve"> of Association </w:t>
      </w:r>
    </w:p>
    <w:p w:rsidR="00125EB4" w:rsidRPr="00125EB4" w:rsidRDefault="00125EB4" w:rsidP="00125EB4">
      <w:pPr>
        <w:autoSpaceDE w:val="0"/>
        <w:autoSpaceDN w:val="0"/>
        <w:adjustRightInd w:val="0"/>
        <w:spacing w:after="0" w:line="240" w:lineRule="auto"/>
        <w:jc w:val="both"/>
        <w:rPr>
          <w:rFonts w:ascii="Arial" w:hAnsi="Arial" w:cs="Arial"/>
          <w:sz w:val="23"/>
          <w:szCs w:val="23"/>
        </w:rPr>
      </w:pPr>
    </w:p>
    <w:p w:rsidR="00125EB4" w:rsidRPr="00125EB4" w:rsidRDefault="00125EB4" w:rsidP="00125EB4">
      <w:pPr>
        <w:autoSpaceDE w:val="0"/>
        <w:autoSpaceDN w:val="0"/>
        <w:adjustRightInd w:val="0"/>
        <w:spacing w:after="0" w:line="240" w:lineRule="auto"/>
        <w:jc w:val="both"/>
        <w:rPr>
          <w:rFonts w:ascii="Arial" w:hAnsi="Arial" w:cs="Arial"/>
          <w:sz w:val="23"/>
          <w:szCs w:val="23"/>
        </w:rPr>
      </w:pPr>
      <w:r w:rsidRPr="00125EB4">
        <w:rPr>
          <w:rFonts w:ascii="Arial" w:hAnsi="Arial" w:cs="Arial"/>
          <w:sz w:val="23"/>
          <w:szCs w:val="23"/>
        </w:rPr>
        <w:t>To the extent that there is any inconsistency between these Terms of Reference and the Articles</w:t>
      </w:r>
      <w:r>
        <w:rPr>
          <w:rFonts w:ascii="Arial" w:hAnsi="Arial" w:cs="Arial"/>
          <w:sz w:val="23"/>
          <w:szCs w:val="23"/>
        </w:rPr>
        <w:t>/Rules</w:t>
      </w:r>
      <w:r w:rsidRPr="00125EB4">
        <w:rPr>
          <w:rFonts w:ascii="Arial" w:hAnsi="Arial" w:cs="Arial"/>
          <w:sz w:val="23"/>
          <w:szCs w:val="23"/>
        </w:rPr>
        <w:t>, the Articles</w:t>
      </w:r>
      <w:r>
        <w:rPr>
          <w:rFonts w:ascii="Arial" w:hAnsi="Arial" w:cs="Arial"/>
          <w:sz w:val="23"/>
          <w:szCs w:val="23"/>
        </w:rPr>
        <w:t>/Rules</w:t>
      </w:r>
      <w:r w:rsidRPr="00125EB4">
        <w:rPr>
          <w:rFonts w:ascii="Arial" w:hAnsi="Arial" w:cs="Arial"/>
          <w:sz w:val="23"/>
          <w:szCs w:val="23"/>
        </w:rPr>
        <w:t xml:space="preserve"> will prevail. </w:t>
      </w:r>
    </w:p>
    <w:sectPr w:rsidR="00125EB4" w:rsidRPr="00125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2D3" w:rsidRDefault="005262D3" w:rsidP="00125EB4">
      <w:pPr>
        <w:spacing w:after="0" w:line="240" w:lineRule="auto"/>
      </w:pPr>
      <w:r>
        <w:separator/>
      </w:r>
    </w:p>
  </w:endnote>
  <w:endnote w:type="continuationSeparator" w:id="0">
    <w:p w:rsidR="005262D3" w:rsidRDefault="005262D3" w:rsidP="00125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2D3" w:rsidRDefault="005262D3" w:rsidP="00125EB4">
      <w:pPr>
        <w:spacing w:after="0" w:line="240" w:lineRule="auto"/>
      </w:pPr>
      <w:r>
        <w:separator/>
      </w:r>
    </w:p>
  </w:footnote>
  <w:footnote w:type="continuationSeparator" w:id="0">
    <w:p w:rsidR="005262D3" w:rsidRDefault="005262D3" w:rsidP="00125E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DD4008"/>
    <w:multiLevelType w:val="hybridMultilevel"/>
    <w:tmpl w:val="FD6E66B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60466A4"/>
    <w:multiLevelType w:val="hybridMultilevel"/>
    <w:tmpl w:val="449EB57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F8475B"/>
    <w:multiLevelType w:val="hybridMultilevel"/>
    <w:tmpl w:val="DBE20426"/>
    <w:lvl w:ilvl="0" w:tplc="70CE20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3226316"/>
    <w:multiLevelType w:val="hybridMultilevel"/>
    <w:tmpl w:val="3BA2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E53FE5"/>
    <w:multiLevelType w:val="hybridMultilevel"/>
    <w:tmpl w:val="0B8405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B4"/>
    <w:rsid w:val="00125EB4"/>
    <w:rsid w:val="00163849"/>
    <w:rsid w:val="00276298"/>
    <w:rsid w:val="004C1238"/>
    <w:rsid w:val="005262D3"/>
    <w:rsid w:val="00A36C8B"/>
    <w:rsid w:val="00D70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EB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Default"/>
    <w:next w:val="Default"/>
    <w:link w:val="BodyTextIndent3Char"/>
    <w:uiPriority w:val="99"/>
    <w:rsid w:val="00125EB4"/>
    <w:rPr>
      <w:color w:val="auto"/>
    </w:rPr>
  </w:style>
  <w:style w:type="character" w:customStyle="1" w:styleId="BodyTextIndent3Char">
    <w:name w:val="Body Text Indent 3 Char"/>
    <w:basedOn w:val="DefaultParagraphFont"/>
    <w:link w:val="BodyTextIndent3"/>
    <w:uiPriority w:val="99"/>
    <w:rsid w:val="00125EB4"/>
    <w:rPr>
      <w:rFonts w:ascii="Times New Roman" w:hAnsi="Times New Roman" w:cs="Times New Roman"/>
      <w:sz w:val="24"/>
      <w:szCs w:val="24"/>
    </w:rPr>
  </w:style>
  <w:style w:type="paragraph" w:styleId="BodyTextIndent">
    <w:name w:val="Body Text Indent"/>
    <w:basedOn w:val="Default"/>
    <w:next w:val="Default"/>
    <w:link w:val="BodyTextIndentChar"/>
    <w:uiPriority w:val="99"/>
    <w:rsid w:val="00125EB4"/>
    <w:rPr>
      <w:color w:val="auto"/>
    </w:rPr>
  </w:style>
  <w:style w:type="character" w:customStyle="1" w:styleId="BodyTextIndentChar">
    <w:name w:val="Body Text Indent Char"/>
    <w:basedOn w:val="DefaultParagraphFont"/>
    <w:link w:val="BodyTextIndent"/>
    <w:uiPriority w:val="99"/>
    <w:rsid w:val="00125EB4"/>
    <w:rPr>
      <w:rFonts w:ascii="Times New Roman" w:hAnsi="Times New Roman" w:cs="Times New Roman"/>
      <w:sz w:val="24"/>
      <w:szCs w:val="24"/>
    </w:rPr>
  </w:style>
  <w:style w:type="paragraph" w:styleId="Header">
    <w:name w:val="header"/>
    <w:basedOn w:val="Normal"/>
    <w:link w:val="HeaderChar"/>
    <w:uiPriority w:val="99"/>
    <w:unhideWhenUsed/>
    <w:rsid w:val="00125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EB4"/>
  </w:style>
  <w:style w:type="paragraph" w:styleId="Footer">
    <w:name w:val="footer"/>
    <w:basedOn w:val="Normal"/>
    <w:link w:val="FooterChar"/>
    <w:uiPriority w:val="99"/>
    <w:unhideWhenUsed/>
    <w:rsid w:val="00125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EB4"/>
  </w:style>
  <w:style w:type="paragraph" w:styleId="ListParagraph">
    <w:name w:val="List Paragraph"/>
    <w:basedOn w:val="Normal"/>
    <w:uiPriority w:val="34"/>
    <w:qFormat/>
    <w:rsid w:val="00125E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EB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Default"/>
    <w:next w:val="Default"/>
    <w:link w:val="BodyTextIndent3Char"/>
    <w:uiPriority w:val="99"/>
    <w:rsid w:val="00125EB4"/>
    <w:rPr>
      <w:color w:val="auto"/>
    </w:rPr>
  </w:style>
  <w:style w:type="character" w:customStyle="1" w:styleId="BodyTextIndent3Char">
    <w:name w:val="Body Text Indent 3 Char"/>
    <w:basedOn w:val="DefaultParagraphFont"/>
    <w:link w:val="BodyTextIndent3"/>
    <w:uiPriority w:val="99"/>
    <w:rsid w:val="00125EB4"/>
    <w:rPr>
      <w:rFonts w:ascii="Times New Roman" w:hAnsi="Times New Roman" w:cs="Times New Roman"/>
      <w:sz w:val="24"/>
      <w:szCs w:val="24"/>
    </w:rPr>
  </w:style>
  <w:style w:type="paragraph" w:styleId="BodyTextIndent">
    <w:name w:val="Body Text Indent"/>
    <w:basedOn w:val="Default"/>
    <w:next w:val="Default"/>
    <w:link w:val="BodyTextIndentChar"/>
    <w:uiPriority w:val="99"/>
    <w:rsid w:val="00125EB4"/>
    <w:rPr>
      <w:color w:val="auto"/>
    </w:rPr>
  </w:style>
  <w:style w:type="character" w:customStyle="1" w:styleId="BodyTextIndentChar">
    <w:name w:val="Body Text Indent Char"/>
    <w:basedOn w:val="DefaultParagraphFont"/>
    <w:link w:val="BodyTextIndent"/>
    <w:uiPriority w:val="99"/>
    <w:rsid w:val="00125EB4"/>
    <w:rPr>
      <w:rFonts w:ascii="Times New Roman" w:hAnsi="Times New Roman" w:cs="Times New Roman"/>
      <w:sz w:val="24"/>
      <w:szCs w:val="24"/>
    </w:rPr>
  </w:style>
  <w:style w:type="paragraph" w:styleId="Header">
    <w:name w:val="header"/>
    <w:basedOn w:val="Normal"/>
    <w:link w:val="HeaderChar"/>
    <w:uiPriority w:val="99"/>
    <w:unhideWhenUsed/>
    <w:rsid w:val="00125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EB4"/>
  </w:style>
  <w:style w:type="paragraph" w:styleId="Footer">
    <w:name w:val="footer"/>
    <w:basedOn w:val="Normal"/>
    <w:link w:val="FooterChar"/>
    <w:uiPriority w:val="99"/>
    <w:unhideWhenUsed/>
    <w:rsid w:val="00125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EB4"/>
  </w:style>
  <w:style w:type="paragraph" w:styleId="ListParagraph">
    <w:name w:val="List Paragraph"/>
    <w:basedOn w:val="Normal"/>
    <w:uiPriority w:val="34"/>
    <w:qFormat/>
    <w:rsid w:val="00125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Cross</dc:creator>
  <cp:lastModifiedBy>John Cross</cp:lastModifiedBy>
  <cp:revision>2</cp:revision>
  <dcterms:created xsi:type="dcterms:W3CDTF">2014-09-16T09:02:00Z</dcterms:created>
  <dcterms:modified xsi:type="dcterms:W3CDTF">2014-09-16T09:02:00Z</dcterms:modified>
</cp:coreProperties>
</file>